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pacing w:line="40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360" w:lineRule="auto"/>
        <w:jc w:val="center"/>
        <w:rPr>
          <w:rFonts w:hint="eastAsia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bidi="ar"/>
        </w:rPr>
        <w:t>烟草专卖涉企行政检查频次上限</w:t>
      </w:r>
    </w:p>
    <w:tbl>
      <w:tblPr>
        <w:tblStyle w:val="4"/>
        <w:tblW w:w="1417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7"/>
        <w:gridCol w:w="942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检查对象</w:t>
            </w:r>
          </w:p>
        </w:tc>
        <w:tc>
          <w:tcPr>
            <w:tcW w:w="9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年度检查频次上限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烟草专卖品生产经营企业</w:t>
            </w:r>
          </w:p>
        </w:tc>
        <w:tc>
          <w:tcPr>
            <w:tcW w:w="9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烟草专卖执法检查6次；产品质量检查4次。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烟草专卖品批发企业</w:t>
            </w:r>
          </w:p>
        </w:tc>
        <w:tc>
          <w:tcPr>
            <w:tcW w:w="9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烟草专卖执法检查6次；产品质量检查4次。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烟草制品零售经营主体</w:t>
            </w:r>
          </w:p>
        </w:tc>
        <w:tc>
          <w:tcPr>
            <w:tcW w:w="9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无违法违规行为、信用状况良好的守信经营主体，1次；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存在轻微违法行为、信用状况一般的经营主体，2次；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存在一般违法行为、信用状况较差的经营主体，4次；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存在严重违法行为、信用状况差的经营主体，6次。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电子烟等新型烟草制品相关生产经营企业</w:t>
            </w:r>
          </w:p>
        </w:tc>
        <w:tc>
          <w:tcPr>
            <w:tcW w:w="9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自上一年度以来未因违法经营电子烟相关业务被行政处罚、未因违反电子烟监管政策被行政处理的，4次；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自上一年度以来因违法经营电子烟相关业务被行政处罚的，或因违反电子烟监管政策被行政处理（包括但不限于监管谈话、责令整改、中止平台交易资格等）的，或最近一次延续（换证）核准有效期不超过1年的，6次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产品质量检查6次。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电子烟等新型烟草制品批发企业</w:t>
            </w:r>
          </w:p>
        </w:tc>
        <w:tc>
          <w:tcPr>
            <w:tcW w:w="9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烟草专卖执法检查6次；产品质量检查4次。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电子烟等新型烟草制品零售经营主体</w:t>
            </w:r>
          </w:p>
        </w:tc>
        <w:tc>
          <w:tcPr>
            <w:tcW w:w="9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无违法违规行为、信用状况良好的守信经营主体，1次；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存在轻微违法行为、信用状况一般的经营主体，2次；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存在一般违法行为、信用状况较差的经营主体，4次；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存在严重违法行为、信用状况差的经营主体，6次。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对各类检查对象，通过投诉举报、转办交办、数据监测等方式发现的涉烟违法违规线索实施行政检查，或者应企业申请实施行政检查的，可以不受频次上限限制。</w:t>
            </w:r>
          </w:p>
        </w:tc>
      </w:tr>
    </w:tbl>
    <w:p/>
    <w:sectPr>
      <w:footerReference r:id="rId3" w:type="default"/>
      <w:pgSz w:w="16838" w:h="11906" w:orient="landscape"/>
      <w:pgMar w:top="1531" w:right="1531" w:bottom="153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6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6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E264CA"/>
    <w:rsid w:val="3B0A15A1"/>
    <w:rsid w:val="3CF0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71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7">
    <w:name w:val="font01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8">
    <w:name w:val="font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4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21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2025-09-26T02:18:00Z</dcterms:created>
  <dc:creator>Administrator</dc:creator>
  <cp:lastModifiedBy>Administrator</cp:lastModifiedBy>
  <dcterms:modified xsi:type="dcterms:W3CDTF">2025-09-26T02:32:04Z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